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492" w:rsidRPr="00DB0B77" w:rsidRDefault="00D97492" w:rsidP="00C0459D">
      <w:pPr>
        <w:spacing w:line="240" w:lineRule="auto"/>
        <w:jc w:val="right"/>
        <w:rPr>
          <w:lang w:val="en-US"/>
        </w:rPr>
      </w:pPr>
      <w:r>
        <w:rPr>
          <w:lang w:val="sv-SE"/>
        </w:rPr>
        <w:tab/>
      </w:r>
      <w:r>
        <w:rPr>
          <w:lang w:val="sv-SE"/>
        </w:rPr>
        <w:tab/>
      </w:r>
      <w:r w:rsidRPr="00DB0B77">
        <w:rPr>
          <w:lang w:val="en-US"/>
        </w:rPr>
        <w:t>2011-10-17</w:t>
      </w:r>
      <w:r w:rsidR="00EF055A">
        <w:rPr>
          <w:lang w:val="en-US"/>
        </w:rPr>
        <w:br/>
      </w:r>
      <w:r w:rsidRPr="00DB0B77">
        <w:rPr>
          <w:lang w:val="en-US"/>
        </w:rPr>
        <w:t xml:space="preserve">Steering Committee </w:t>
      </w:r>
      <w:r w:rsidR="00EF055A">
        <w:rPr>
          <w:lang w:val="en-US"/>
        </w:rPr>
        <w:br/>
      </w:r>
      <w:r w:rsidR="00962AE3">
        <w:rPr>
          <w:lang w:val="en-US"/>
        </w:rPr>
        <w:t xml:space="preserve"> for </w:t>
      </w:r>
      <w:r w:rsidRPr="00DB0B77">
        <w:rPr>
          <w:lang w:val="en-US"/>
        </w:rPr>
        <w:t xml:space="preserve">Priority </w:t>
      </w:r>
      <w:r w:rsidR="00962AE3">
        <w:rPr>
          <w:lang w:val="en-US"/>
        </w:rPr>
        <w:t>A</w:t>
      </w:r>
      <w:r w:rsidRPr="00DB0B77">
        <w:rPr>
          <w:lang w:val="en-US"/>
        </w:rPr>
        <w:t>rea 13</w:t>
      </w:r>
      <w:r w:rsidR="00962AE3">
        <w:rPr>
          <w:lang w:val="en-US"/>
        </w:rPr>
        <w:t xml:space="preserve"> of the</w:t>
      </w:r>
      <w:r w:rsidRPr="00DB0B77">
        <w:rPr>
          <w:lang w:val="en-US"/>
        </w:rPr>
        <w:t xml:space="preserve"> EUSBSR</w:t>
      </w:r>
    </w:p>
    <w:p w:rsidR="00D97492" w:rsidRDefault="00D97492" w:rsidP="00C0459D">
      <w:pPr>
        <w:jc w:val="right"/>
        <w:rPr>
          <w:lang w:val="en-US"/>
        </w:rPr>
      </w:pPr>
    </w:p>
    <w:p w:rsidR="00C0459D" w:rsidRPr="00DB0B77" w:rsidRDefault="00C0459D" w:rsidP="00C0459D">
      <w:pPr>
        <w:jc w:val="right"/>
        <w:rPr>
          <w:lang w:val="en-US"/>
        </w:rPr>
      </w:pPr>
    </w:p>
    <w:p w:rsidR="00171BBA" w:rsidRPr="00DB0B77" w:rsidRDefault="00171BBA" w:rsidP="00C0459D">
      <w:pPr>
        <w:jc w:val="both"/>
        <w:rPr>
          <w:lang w:val="en-US"/>
        </w:rPr>
      </w:pPr>
      <w:r w:rsidRPr="00DB0B77">
        <w:rPr>
          <w:lang w:val="en-US"/>
        </w:rPr>
        <w:t>Request for flagship</w:t>
      </w:r>
      <w:r w:rsidR="006B196E">
        <w:rPr>
          <w:lang w:val="en-US"/>
        </w:rPr>
        <w:t xml:space="preserve"> </w:t>
      </w:r>
      <w:r w:rsidRPr="00DB0B77">
        <w:rPr>
          <w:lang w:val="en-US"/>
        </w:rPr>
        <w:t>status in the European Union Str</w:t>
      </w:r>
      <w:r w:rsidR="00EF055A">
        <w:rPr>
          <w:lang w:val="en-US"/>
        </w:rPr>
        <w:t>ategy for the Baltic Sea Region</w:t>
      </w:r>
    </w:p>
    <w:p w:rsidR="00D97492" w:rsidRPr="00EF055A" w:rsidRDefault="0022740B" w:rsidP="00C0459D">
      <w:pPr>
        <w:jc w:val="both"/>
        <w:rPr>
          <w:b/>
          <w:sz w:val="28"/>
          <w:lang w:val="en-US"/>
        </w:rPr>
      </w:pPr>
      <w:r w:rsidRPr="00DB0B77">
        <w:rPr>
          <w:b/>
          <w:sz w:val="28"/>
          <w:lang w:val="en-US"/>
        </w:rPr>
        <w:t xml:space="preserve">Initiative: </w:t>
      </w:r>
      <w:r w:rsidR="00171BBA" w:rsidRPr="00DB0B77">
        <w:rPr>
          <w:b/>
          <w:sz w:val="28"/>
          <w:lang w:val="en-US"/>
        </w:rPr>
        <w:t>Baltic Maritime Science Park</w:t>
      </w:r>
    </w:p>
    <w:p w:rsidR="0022740B" w:rsidRDefault="0022740B" w:rsidP="00C0459D">
      <w:pPr>
        <w:jc w:val="both"/>
      </w:pPr>
      <w:bookmarkStart w:id="0" w:name="_Toc225151235"/>
      <w:bookmarkStart w:id="1" w:name="_Toc225316025"/>
      <w:bookmarkStart w:id="2" w:name="_Toc228700432"/>
      <w:r>
        <w:rPr>
          <w:bCs/>
          <w:lang w:val="en-GB"/>
        </w:rPr>
        <w:t xml:space="preserve">The </w:t>
      </w:r>
      <w:r w:rsidR="00962AE3">
        <w:rPr>
          <w:bCs/>
          <w:lang w:val="en-GB"/>
        </w:rPr>
        <w:t>project proposal “</w:t>
      </w:r>
      <w:r>
        <w:rPr>
          <w:bCs/>
          <w:lang w:val="en-GB"/>
        </w:rPr>
        <w:t>Baltic Maritime Science Park</w:t>
      </w:r>
      <w:r w:rsidR="00962AE3">
        <w:rPr>
          <w:bCs/>
          <w:lang w:val="en-GB"/>
        </w:rPr>
        <w:t>”</w:t>
      </w:r>
      <w:r>
        <w:rPr>
          <w:bCs/>
          <w:lang w:val="en-GB"/>
        </w:rPr>
        <w:t xml:space="preserve"> (BMSP) hereby requests flagship status within the European Union Strategy for the Baltic Sea Re</w:t>
      </w:r>
      <w:r w:rsidR="00E265D8">
        <w:rPr>
          <w:bCs/>
          <w:lang w:val="en-GB"/>
        </w:rPr>
        <w:t xml:space="preserve">gion (EUSBSR), </w:t>
      </w:r>
      <w:r w:rsidR="00962AE3">
        <w:rPr>
          <w:bCs/>
          <w:lang w:val="en-GB"/>
        </w:rPr>
        <w:t xml:space="preserve">in the </w:t>
      </w:r>
      <w:r w:rsidR="00E265D8">
        <w:rPr>
          <w:bCs/>
          <w:lang w:val="en-GB"/>
        </w:rPr>
        <w:t xml:space="preserve"> pillar: “To make the Baltic Sea Region a Safe and Secure Place”, </w:t>
      </w:r>
      <w:r w:rsidR="00962AE3">
        <w:rPr>
          <w:bCs/>
          <w:lang w:val="en-GB"/>
        </w:rPr>
        <w:t xml:space="preserve">under </w:t>
      </w:r>
      <w:r w:rsidR="00E265D8">
        <w:rPr>
          <w:bCs/>
          <w:lang w:val="en-GB"/>
        </w:rPr>
        <w:t>P</w:t>
      </w:r>
      <w:r>
        <w:rPr>
          <w:bCs/>
          <w:lang w:val="en-GB"/>
        </w:rPr>
        <w:t xml:space="preserve">riority </w:t>
      </w:r>
      <w:r w:rsidR="00962AE3">
        <w:rPr>
          <w:bCs/>
          <w:lang w:val="en-GB"/>
        </w:rPr>
        <w:t>A</w:t>
      </w:r>
      <w:r>
        <w:rPr>
          <w:bCs/>
          <w:lang w:val="en-GB"/>
        </w:rPr>
        <w:t xml:space="preserve">rea 13: </w:t>
      </w:r>
      <w:bookmarkStart w:id="3" w:name="_Toc225151237"/>
      <w:bookmarkStart w:id="4" w:name="_Toc225316027"/>
      <w:bookmarkStart w:id="5" w:name="_Toc228700433"/>
      <w:r w:rsidR="00E265D8">
        <w:rPr>
          <w:bCs/>
          <w:lang w:val="en-GB"/>
        </w:rPr>
        <w:t>“</w:t>
      </w:r>
      <w:r>
        <w:t>To become a leading region in maritime safety and in security</w:t>
      </w:r>
      <w:bookmarkEnd w:id="3"/>
      <w:bookmarkEnd w:id="4"/>
      <w:bookmarkEnd w:id="5"/>
      <w:r w:rsidR="00D97492">
        <w:rPr>
          <w:bCs/>
          <w:lang w:val="en-GB"/>
        </w:rPr>
        <w:t>”</w:t>
      </w:r>
      <w:r w:rsidR="00D97492">
        <w:t> </w:t>
      </w:r>
      <w:r>
        <w:t>.</w:t>
      </w:r>
    </w:p>
    <w:p w:rsidR="00C0459D" w:rsidRDefault="004E049D" w:rsidP="00C0459D">
      <w:pPr>
        <w:jc w:val="both"/>
        <w:rPr>
          <w:b/>
        </w:rPr>
      </w:pPr>
      <w:proofErr w:type="spellStart"/>
      <w:r>
        <w:rPr>
          <w:b/>
        </w:rPr>
        <w:t>Proposal</w:t>
      </w:r>
      <w:proofErr w:type="spellEnd"/>
    </w:p>
    <w:p w:rsidR="004E049D" w:rsidRPr="00075C7F" w:rsidRDefault="004E049D" w:rsidP="00C0459D">
      <w:pPr>
        <w:jc w:val="both"/>
        <w:rPr>
          <w:b/>
        </w:rPr>
      </w:pPr>
      <w:proofErr w:type="spellStart"/>
      <w:r>
        <w:t>Baltic</w:t>
      </w:r>
      <w:proofErr w:type="spellEnd"/>
      <w:r>
        <w:t xml:space="preserve"> Maritime Science Park is proposed to be granted flagship status as a meta-project</w:t>
      </w:r>
      <w:r w:rsidR="00DD78E0">
        <w:t xml:space="preserve">. Since the initiative is broad and holistic and integrates many different sectors and disciplines within maritime safety and security </w:t>
      </w:r>
      <w:r>
        <w:t xml:space="preserve">a new </w:t>
      </w:r>
      <w:r w:rsidR="00DD78E0">
        <w:t>supportive action under P13 i</w:t>
      </w:r>
      <w:r w:rsidR="00962AE3">
        <w:t>s</w:t>
      </w:r>
      <w:r w:rsidR="00DD78E0">
        <w:t xml:space="preserve"> </w:t>
      </w:r>
      <w:r w:rsidR="00962AE3">
        <w:t xml:space="preserve">hereby </w:t>
      </w:r>
      <w:r w:rsidR="00DD78E0">
        <w:t xml:space="preserve">suggested in order to fully use the potential of BMSP for becoming a communciation platform and centre for innovations. </w:t>
      </w:r>
    </w:p>
    <w:p w:rsidR="005F464E" w:rsidRDefault="005F464E" w:rsidP="00C0459D">
      <w:pPr>
        <w:jc w:val="both"/>
        <w:rPr>
          <w:b/>
        </w:rPr>
      </w:pPr>
      <w:r>
        <w:rPr>
          <w:lang w:val="en-US"/>
        </w:rPr>
        <w:t xml:space="preserve">Approving the BMSP as a flagship project would emphasize the need for creating dynamic forums for development as complementing structures to ongoing projects. Constraints in the existing system are due to poor dissemination of results, lack in the exchange of experiences, as well as an inability to transform results into innovations and transfer these to businesses and the industry. Flagship status for the BMSP would clearly indicate a strategic decision to highlight collaboration, sharing and transference as vital actions for fulfilling the EUSBSRs Priority Area 13. </w:t>
      </w:r>
    </w:p>
    <w:p w:rsidR="00C0459D" w:rsidRDefault="00165BC1" w:rsidP="00C0459D">
      <w:pPr>
        <w:jc w:val="both"/>
        <w:rPr>
          <w:b/>
        </w:rPr>
      </w:pPr>
      <w:r w:rsidRPr="00165BC1">
        <w:rPr>
          <w:b/>
        </w:rPr>
        <w:t xml:space="preserve">Baltic Maritime Science Park – about the initiative </w:t>
      </w:r>
    </w:p>
    <w:p w:rsidR="0022740B" w:rsidRPr="00616726" w:rsidRDefault="00171BBA" w:rsidP="00C0459D">
      <w:pPr>
        <w:jc w:val="both"/>
        <w:rPr>
          <w:bCs/>
          <w:lang w:val="en-GB"/>
        </w:rPr>
      </w:pPr>
      <w:r w:rsidRPr="00616726">
        <w:rPr>
          <w:bCs/>
          <w:lang w:val="en-GB"/>
        </w:rPr>
        <w:t xml:space="preserve">Baltic Maritime Science Park </w:t>
      </w:r>
      <w:r w:rsidR="0022740B" w:rsidRPr="00616726">
        <w:rPr>
          <w:bCs/>
          <w:lang w:val="en-GB"/>
        </w:rPr>
        <w:t xml:space="preserve">is an </w:t>
      </w:r>
      <w:r w:rsidR="00DB0B77" w:rsidRPr="00616726">
        <w:rPr>
          <w:bCs/>
          <w:lang w:val="en-GB"/>
        </w:rPr>
        <w:t xml:space="preserve">arena for </w:t>
      </w:r>
      <w:r w:rsidR="0022740B" w:rsidRPr="00616726">
        <w:rPr>
          <w:bCs/>
          <w:lang w:val="en-GB"/>
        </w:rPr>
        <w:t>innovation</w:t>
      </w:r>
      <w:r w:rsidR="00DB0B77" w:rsidRPr="00616726">
        <w:rPr>
          <w:bCs/>
          <w:lang w:val="en-GB"/>
        </w:rPr>
        <w:t>s</w:t>
      </w:r>
      <w:r w:rsidR="0022740B" w:rsidRPr="00616726">
        <w:rPr>
          <w:bCs/>
          <w:lang w:val="en-GB"/>
        </w:rPr>
        <w:t xml:space="preserve"> and knowledge</w:t>
      </w:r>
      <w:r w:rsidR="00DB0B77" w:rsidRPr="00616726">
        <w:rPr>
          <w:bCs/>
          <w:lang w:val="en-GB"/>
        </w:rPr>
        <w:t xml:space="preserve"> development</w:t>
      </w:r>
      <w:r w:rsidR="0022740B" w:rsidRPr="00616726">
        <w:rPr>
          <w:bCs/>
          <w:lang w:val="en-GB"/>
        </w:rPr>
        <w:t xml:space="preserve"> within maritime safety</w:t>
      </w:r>
      <w:r w:rsidR="00DB0B77" w:rsidRPr="00616726">
        <w:rPr>
          <w:bCs/>
          <w:lang w:val="en-GB"/>
        </w:rPr>
        <w:t xml:space="preserve">, </w:t>
      </w:r>
      <w:r w:rsidR="0022740B" w:rsidRPr="00616726">
        <w:rPr>
          <w:bCs/>
          <w:lang w:val="en-GB"/>
        </w:rPr>
        <w:t xml:space="preserve">security and </w:t>
      </w:r>
      <w:r w:rsidR="00DB0B77" w:rsidRPr="00616726">
        <w:rPr>
          <w:bCs/>
          <w:lang w:val="en-GB"/>
        </w:rPr>
        <w:t xml:space="preserve">marine environment.  </w:t>
      </w:r>
      <w:r w:rsidR="00DB0B77" w:rsidRPr="00616726">
        <w:rPr>
          <w:lang w:val="en-US"/>
        </w:rPr>
        <w:t xml:space="preserve">BMSP creates dynamic meeting places and aims at stimulating development, innovations and enterprises. BMSP contributes to the strengthening of initiatives, matching-making of players and stakeholders, as well as connecting strategic and research-based projects with innovation partnerships and businesses. The cluster </w:t>
      </w:r>
      <w:r w:rsidR="00DB0B77" w:rsidRPr="00616726">
        <w:rPr>
          <w:bCs/>
          <w:lang w:val="en-GB"/>
        </w:rPr>
        <w:t>gathers</w:t>
      </w:r>
      <w:r w:rsidR="0022740B" w:rsidRPr="00616726">
        <w:rPr>
          <w:bCs/>
          <w:lang w:val="en-GB"/>
        </w:rPr>
        <w:t xml:space="preserve"> public bodies (national, regional, local authorities), research and education institutes (universities, research institutes, schools for higher learning), business sector (companies and other representatives of the trade and industry) and the civil society (associations, NGO etc.)</w:t>
      </w:r>
      <w:r w:rsidR="00DB0B77" w:rsidRPr="00616726">
        <w:rPr>
          <w:bCs/>
          <w:lang w:val="en-GB"/>
        </w:rPr>
        <w:t xml:space="preserve"> </w:t>
      </w:r>
      <w:r w:rsidR="00F161CD">
        <w:rPr>
          <w:bCs/>
          <w:lang w:val="en-GB"/>
        </w:rPr>
        <w:t xml:space="preserve">and </w:t>
      </w:r>
      <w:r w:rsidR="00DB0B77" w:rsidRPr="00616726">
        <w:rPr>
          <w:bCs/>
          <w:lang w:val="en-GB"/>
        </w:rPr>
        <w:t>offer</w:t>
      </w:r>
      <w:r w:rsidR="00F161CD">
        <w:rPr>
          <w:bCs/>
          <w:lang w:val="en-GB"/>
        </w:rPr>
        <w:t>s</w:t>
      </w:r>
      <w:r w:rsidR="0022740B" w:rsidRPr="00616726">
        <w:rPr>
          <w:bCs/>
          <w:lang w:val="en-GB"/>
        </w:rPr>
        <w:t xml:space="preserve"> a forum where </w:t>
      </w:r>
      <w:r w:rsidR="00DB0B77" w:rsidRPr="00616726">
        <w:rPr>
          <w:bCs/>
          <w:lang w:val="en-GB"/>
        </w:rPr>
        <w:t>these stakeholders</w:t>
      </w:r>
      <w:r w:rsidR="0022740B" w:rsidRPr="00616726">
        <w:rPr>
          <w:bCs/>
          <w:lang w:val="en-GB"/>
        </w:rPr>
        <w:t xml:space="preserve"> </w:t>
      </w:r>
      <w:r w:rsidR="00BF5F10" w:rsidRPr="00616726">
        <w:rPr>
          <w:bCs/>
          <w:lang w:val="en-GB"/>
        </w:rPr>
        <w:t>can</w:t>
      </w:r>
      <w:r w:rsidR="00FD48FB" w:rsidRPr="00616726">
        <w:rPr>
          <w:bCs/>
          <w:lang w:val="en-GB"/>
        </w:rPr>
        <w:t xml:space="preserve"> </w:t>
      </w:r>
      <w:r w:rsidR="0022740B" w:rsidRPr="00616726">
        <w:rPr>
          <w:bCs/>
          <w:lang w:val="en-GB"/>
        </w:rPr>
        <w:t>develop Quadruple Helix-cooperation. The exchange between these partners will stimulate new ideas, innovations, research, products and entrepreneurship – and in the end regional economic growth.</w:t>
      </w:r>
    </w:p>
    <w:p w:rsidR="006160AB" w:rsidRDefault="00FD48FB" w:rsidP="00C0459D">
      <w:pPr>
        <w:jc w:val="both"/>
        <w:rPr>
          <w:bCs/>
          <w:lang w:val="en-GB"/>
        </w:rPr>
      </w:pPr>
      <w:r>
        <w:rPr>
          <w:bCs/>
          <w:lang w:val="en-GB"/>
        </w:rPr>
        <w:t xml:space="preserve">Maritime safety, </w:t>
      </w:r>
      <w:r w:rsidR="006160AB" w:rsidRPr="006160AB">
        <w:rPr>
          <w:bCs/>
          <w:lang w:val="en-GB"/>
        </w:rPr>
        <w:t xml:space="preserve">security and </w:t>
      </w:r>
      <w:r>
        <w:rPr>
          <w:bCs/>
          <w:lang w:val="en-GB"/>
        </w:rPr>
        <w:t xml:space="preserve">marine </w:t>
      </w:r>
      <w:r w:rsidR="006160AB" w:rsidRPr="006160AB">
        <w:rPr>
          <w:bCs/>
          <w:lang w:val="en-GB"/>
        </w:rPr>
        <w:t xml:space="preserve">environment are wide topics – therefore 6 areas have been </w:t>
      </w:r>
      <w:r>
        <w:rPr>
          <w:bCs/>
          <w:lang w:val="en-GB"/>
        </w:rPr>
        <w:t>pre-</w:t>
      </w:r>
      <w:r w:rsidR="006160AB" w:rsidRPr="006160AB">
        <w:rPr>
          <w:bCs/>
          <w:lang w:val="en-GB"/>
        </w:rPr>
        <w:t xml:space="preserve">selected: deviation detection, port security, oil decontamination, certified training, maritime spatial </w:t>
      </w:r>
      <w:r w:rsidR="006160AB" w:rsidRPr="006160AB">
        <w:rPr>
          <w:bCs/>
          <w:lang w:val="en-GB"/>
        </w:rPr>
        <w:lastRenderedPageBreak/>
        <w:t>pl</w:t>
      </w:r>
      <w:r w:rsidR="00061274">
        <w:rPr>
          <w:bCs/>
          <w:lang w:val="en-GB"/>
        </w:rPr>
        <w:t xml:space="preserve">anning (sea and coastal areas) and </w:t>
      </w:r>
      <w:r w:rsidR="006160AB" w:rsidRPr="006160AB">
        <w:rPr>
          <w:bCs/>
          <w:lang w:val="en-GB"/>
        </w:rPr>
        <w:t xml:space="preserve">exploitation of sea and coastal areas. </w:t>
      </w:r>
      <w:r>
        <w:rPr>
          <w:bCs/>
          <w:lang w:val="en-GB"/>
        </w:rPr>
        <w:t>M</w:t>
      </w:r>
      <w:r w:rsidR="00165BC1">
        <w:rPr>
          <w:bCs/>
          <w:lang w:val="en-GB"/>
        </w:rPr>
        <w:t>ost</w:t>
      </w:r>
      <w:r w:rsidR="006160AB" w:rsidRPr="006160AB">
        <w:rPr>
          <w:bCs/>
          <w:lang w:val="en-GB"/>
        </w:rPr>
        <w:t xml:space="preserve"> </w:t>
      </w:r>
      <w:r>
        <w:rPr>
          <w:bCs/>
          <w:lang w:val="en-GB"/>
        </w:rPr>
        <w:t xml:space="preserve">of these </w:t>
      </w:r>
      <w:r w:rsidR="00061274">
        <w:rPr>
          <w:bCs/>
          <w:lang w:val="en-GB"/>
        </w:rPr>
        <w:t>are</w:t>
      </w:r>
      <w:r>
        <w:rPr>
          <w:bCs/>
          <w:lang w:val="en-GB"/>
        </w:rPr>
        <w:t>as are</w:t>
      </w:r>
      <w:r w:rsidR="006160AB" w:rsidRPr="006160AB">
        <w:rPr>
          <w:bCs/>
          <w:lang w:val="en-GB"/>
        </w:rPr>
        <w:t xml:space="preserve"> referred to in </w:t>
      </w:r>
      <w:r w:rsidR="00962AE3">
        <w:rPr>
          <w:bCs/>
          <w:lang w:val="en-GB"/>
        </w:rPr>
        <w:t>P</w:t>
      </w:r>
      <w:r w:rsidR="00D97492">
        <w:rPr>
          <w:bCs/>
          <w:lang w:val="en-GB"/>
        </w:rPr>
        <w:t xml:space="preserve">riority </w:t>
      </w:r>
      <w:r w:rsidR="00962AE3">
        <w:rPr>
          <w:bCs/>
          <w:lang w:val="en-GB"/>
        </w:rPr>
        <w:t>A</w:t>
      </w:r>
      <w:r w:rsidR="00D97492">
        <w:rPr>
          <w:bCs/>
          <w:lang w:val="en-GB"/>
        </w:rPr>
        <w:t>rea</w:t>
      </w:r>
      <w:r w:rsidR="006160AB" w:rsidRPr="006160AB">
        <w:rPr>
          <w:bCs/>
          <w:lang w:val="en-GB"/>
        </w:rPr>
        <w:t xml:space="preserve"> 13 as well as in the</w:t>
      </w:r>
      <w:r w:rsidR="00165BC1">
        <w:rPr>
          <w:bCs/>
          <w:lang w:val="en-GB"/>
        </w:rPr>
        <w:t xml:space="preserve"> horizontal actions of the EUSB</w:t>
      </w:r>
      <w:r w:rsidR="006160AB" w:rsidRPr="006160AB">
        <w:rPr>
          <w:bCs/>
          <w:lang w:val="en-GB"/>
        </w:rPr>
        <w:t>S</w:t>
      </w:r>
      <w:r w:rsidR="00165BC1">
        <w:rPr>
          <w:bCs/>
          <w:lang w:val="en-GB"/>
        </w:rPr>
        <w:t>R</w:t>
      </w:r>
      <w:r w:rsidR="006160AB" w:rsidRPr="006160AB">
        <w:rPr>
          <w:bCs/>
          <w:lang w:val="en-GB"/>
        </w:rPr>
        <w:t xml:space="preserve">. </w:t>
      </w:r>
    </w:p>
    <w:p w:rsidR="004A29EF" w:rsidRPr="0022740B" w:rsidRDefault="004A29EF" w:rsidP="00C0459D">
      <w:pPr>
        <w:jc w:val="both"/>
        <w:rPr>
          <w:bCs/>
          <w:lang w:val="en-GB"/>
        </w:rPr>
      </w:pPr>
      <w:r>
        <w:rPr>
          <w:lang w:val="en-GB"/>
        </w:rPr>
        <w:t>In addition to the EUSBSR</w:t>
      </w:r>
      <w:r>
        <w:rPr>
          <w:lang w:val="en-US"/>
        </w:rPr>
        <w:t xml:space="preserve">, </w:t>
      </w:r>
      <w:r w:rsidR="00962AE3">
        <w:rPr>
          <w:lang w:val="en-US"/>
        </w:rPr>
        <w:t xml:space="preserve">the </w:t>
      </w:r>
      <w:r>
        <w:rPr>
          <w:lang w:val="en-US"/>
        </w:rPr>
        <w:t>BMSP is also in line with the Maritime Policy for EU which highlights</w:t>
      </w:r>
      <w:r w:rsidRPr="009F77F5">
        <w:rPr>
          <w:lang w:val="en-US"/>
        </w:rPr>
        <w:t xml:space="preserve"> the need for matching knowledge with actors and networks in order to stimulate </w:t>
      </w:r>
      <w:r>
        <w:rPr>
          <w:lang w:val="en-US"/>
        </w:rPr>
        <w:t>the development of innovations and new solutions to common maritime challenges. The policy emphasizes the need for a holistic and integrated approach involving a broad set of stakeholders and target groups. Furthermore, the policy calls for integrated transnational research partnerships as well as increased knowledge exchange between countries and institutions.</w:t>
      </w:r>
    </w:p>
    <w:p w:rsidR="00C0459D" w:rsidRDefault="00165BC1" w:rsidP="00C0459D">
      <w:pPr>
        <w:jc w:val="both"/>
        <w:rPr>
          <w:b/>
          <w:bCs/>
          <w:lang w:val="en-GB"/>
        </w:rPr>
      </w:pPr>
      <w:r>
        <w:rPr>
          <w:b/>
          <w:bCs/>
          <w:lang w:val="en-GB"/>
        </w:rPr>
        <w:t xml:space="preserve">Connection to the EUSBSR Priority </w:t>
      </w:r>
      <w:r w:rsidR="00962AE3">
        <w:rPr>
          <w:b/>
          <w:bCs/>
          <w:lang w:val="en-GB"/>
        </w:rPr>
        <w:t>A</w:t>
      </w:r>
      <w:r>
        <w:rPr>
          <w:b/>
          <w:bCs/>
          <w:lang w:val="en-GB"/>
        </w:rPr>
        <w:t>rea 13</w:t>
      </w:r>
    </w:p>
    <w:p w:rsidR="006160AB" w:rsidRDefault="009141BC" w:rsidP="00C0459D">
      <w:pPr>
        <w:jc w:val="both"/>
        <w:rPr>
          <w:bCs/>
          <w:lang w:val="en-GB"/>
        </w:rPr>
      </w:pPr>
      <w:r>
        <w:rPr>
          <w:bCs/>
          <w:lang w:val="en-GB"/>
        </w:rPr>
        <w:t xml:space="preserve">The EUSBSR is </w:t>
      </w:r>
      <w:r w:rsidR="00962AE3">
        <w:rPr>
          <w:bCs/>
          <w:lang w:val="en-GB"/>
        </w:rPr>
        <w:t xml:space="preserve">considered </w:t>
      </w:r>
      <w:r>
        <w:rPr>
          <w:bCs/>
          <w:lang w:val="en-GB"/>
        </w:rPr>
        <w:t xml:space="preserve">an important tool in implementing EUs maritime policy. BMSP connects to areas important for the EUSBSR such as “safety and security”, and “a sustainable environment”. BMSP </w:t>
      </w:r>
      <w:r w:rsidR="00D740A1">
        <w:rPr>
          <w:bCs/>
          <w:lang w:val="en-GB"/>
        </w:rPr>
        <w:t>seeks to</w:t>
      </w:r>
      <w:r w:rsidR="00165BC1">
        <w:rPr>
          <w:bCs/>
          <w:lang w:val="en-GB"/>
        </w:rPr>
        <w:t xml:space="preserve"> </w:t>
      </w:r>
      <w:r>
        <w:rPr>
          <w:bCs/>
          <w:lang w:val="en-GB"/>
        </w:rPr>
        <w:t xml:space="preserve">stimulate </w:t>
      </w:r>
      <w:r w:rsidR="00D740A1">
        <w:rPr>
          <w:bCs/>
          <w:lang w:val="en-GB"/>
        </w:rPr>
        <w:t xml:space="preserve">transnational </w:t>
      </w:r>
      <w:r>
        <w:rPr>
          <w:bCs/>
          <w:lang w:val="en-GB"/>
        </w:rPr>
        <w:t>knowledge exchan</w:t>
      </w:r>
      <w:r w:rsidR="00D740A1">
        <w:rPr>
          <w:bCs/>
          <w:lang w:val="en-GB"/>
        </w:rPr>
        <w:t>ge and research cooperation. Such actions</w:t>
      </w:r>
      <w:r>
        <w:rPr>
          <w:bCs/>
          <w:lang w:val="en-GB"/>
        </w:rPr>
        <w:t xml:space="preserve"> can contribute to </w:t>
      </w:r>
      <w:r w:rsidR="00D740A1">
        <w:rPr>
          <w:bCs/>
          <w:lang w:val="en-GB"/>
        </w:rPr>
        <w:t xml:space="preserve">balancing </w:t>
      </w:r>
      <w:r>
        <w:rPr>
          <w:bCs/>
          <w:lang w:val="en-GB"/>
        </w:rPr>
        <w:t>the differences within the network and thereby generate a str</w:t>
      </w:r>
      <w:r w:rsidR="00F161CD">
        <w:rPr>
          <w:bCs/>
          <w:lang w:val="en-GB"/>
        </w:rPr>
        <w:t>onger growth in the Baltic Sea R</w:t>
      </w:r>
      <w:r>
        <w:rPr>
          <w:bCs/>
          <w:lang w:val="en-GB"/>
        </w:rPr>
        <w:t xml:space="preserve">egion. </w:t>
      </w:r>
    </w:p>
    <w:p w:rsidR="00165BC1" w:rsidRDefault="007D3E02" w:rsidP="00C0459D">
      <w:pPr>
        <w:jc w:val="both"/>
        <w:rPr>
          <w:bCs/>
          <w:lang w:val="en-GB"/>
        </w:rPr>
      </w:pPr>
      <w:r>
        <w:rPr>
          <w:bCs/>
          <w:lang w:val="en-GB"/>
        </w:rPr>
        <w:t xml:space="preserve">In the </w:t>
      </w:r>
      <w:r w:rsidR="00962AE3">
        <w:rPr>
          <w:bCs/>
          <w:lang w:val="en-GB"/>
        </w:rPr>
        <w:t>A</w:t>
      </w:r>
      <w:r w:rsidR="00165BC1" w:rsidRPr="006160AB">
        <w:rPr>
          <w:bCs/>
          <w:lang w:val="en-GB"/>
        </w:rPr>
        <w:t xml:space="preserve">ction </w:t>
      </w:r>
      <w:r w:rsidR="00962AE3">
        <w:rPr>
          <w:bCs/>
          <w:lang w:val="en-GB"/>
        </w:rPr>
        <w:t>P</w:t>
      </w:r>
      <w:r w:rsidR="00165BC1" w:rsidRPr="006160AB">
        <w:rPr>
          <w:bCs/>
          <w:lang w:val="en-GB"/>
        </w:rPr>
        <w:t xml:space="preserve">lan </w:t>
      </w:r>
      <w:r w:rsidR="00962AE3">
        <w:rPr>
          <w:bCs/>
          <w:lang w:val="en-GB"/>
        </w:rPr>
        <w:t xml:space="preserve">accompanying the EUSBSR </w:t>
      </w:r>
      <w:r w:rsidR="00165BC1" w:rsidRPr="006160AB">
        <w:rPr>
          <w:bCs/>
          <w:lang w:val="en-GB"/>
        </w:rPr>
        <w:t>it is stated that there is</w:t>
      </w:r>
      <w:r w:rsidR="00D740A1">
        <w:rPr>
          <w:bCs/>
          <w:lang w:val="en-GB"/>
        </w:rPr>
        <w:t xml:space="preserve"> a need to “to make the Baltic Sea R</w:t>
      </w:r>
      <w:r w:rsidR="00165BC1" w:rsidRPr="006160AB">
        <w:rPr>
          <w:bCs/>
          <w:lang w:val="en-GB"/>
        </w:rPr>
        <w:t>egion a safe</w:t>
      </w:r>
      <w:r>
        <w:rPr>
          <w:bCs/>
          <w:lang w:val="en-GB"/>
        </w:rPr>
        <w:t xml:space="preserve"> and secure place” and under </w:t>
      </w:r>
      <w:r w:rsidR="00165BC1">
        <w:rPr>
          <w:bCs/>
          <w:lang w:val="en-GB"/>
        </w:rPr>
        <w:t>P</w:t>
      </w:r>
      <w:r w:rsidR="00165BC1" w:rsidRPr="006160AB">
        <w:rPr>
          <w:bCs/>
          <w:lang w:val="en-GB"/>
        </w:rPr>
        <w:t xml:space="preserve">13 </w:t>
      </w:r>
      <w:r w:rsidR="00165BC1">
        <w:rPr>
          <w:bCs/>
          <w:lang w:val="en-GB"/>
        </w:rPr>
        <w:t xml:space="preserve">it </w:t>
      </w:r>
      <w:r w:rsidR="00165BC1" w:rsidRPr="006160AB">
        <w:rPr>
          <w:bCs/>
          <w:lang w:val="en-GB"/>
        </w:rPr>
        <w:t>is sp</w:t>
      </w:r>
      <w:r w:rsidR="00165BC1">
        <w:rPr>
          <w:bCs/>
          <w:lang w:val="en-GB"/>
        </w:rPr>
        <w:t>ecified that the aim is</w:t>
      </w:r>
      <w:r w:rsidR="00165BC1" w:rsidRPr="006160AB">
        <w:rPr>
          <w:bCs/>
          <w:lang w:val="en-GB"/>
        </w:rPr>
        <w:t xml:space="preserve"> “to become a leading region within maritime safety and security”.</w:t>
      </w:r>
      <w:r w:rsidR="0016469F">
        <w:rPr>
          <w:bCs/>
          <w:lang w:val="en-GB"/>
        </w:rPr>
        <w:t xml:space="preserve"> </w:t>
      </w:r>
    </w:p>
    <w:p w:rsidR="009141BC" w:rsidRDefault="00E422B2" w:rsidP="00C0459D">
      <w:pPr>
        <w:jc w:val="both"/>
        <w:rPr>
          <w:bCs/>
          <w:lang w:val="en-GB"/>
        </w:rPr>
      </w:pPr>
      <w:r>
        <w:rPr>
          <w:bCs/>
          <w:lang w:val="en-GB"/>
        </w:rPr>
        <w:t xml:space="preserve">The EUSBSR highlights such hotspots as an increased growth in traffic, oil and natural gas transport, and consequently increasing environmental threats. </w:t>
      </w:r>
      <w:r w:rsidR="00165BC1">
        <w:rPr>
          <w:bCs/>
          <w:lang w:val="en-GB"/>
        </w:rPr>
        <w:t>Flagship projects have been chosen to work with issues such as marine surveillance, assessment of dangerous situation and the prevention of and preparedness for accidents such as hazardous spills,</w:t>
      </w:r>
      <w:r w:rsidR="000200AE">
        <w:rPr>
          <w:bCs/>
          <w:lang w:val="en-GB"/>
        </w:rPr>
        <w:t xml:space="preserve"> marine pollution etc. BMSP follows a holistic and integrated approach on maritime safety, security and environment. Therefore, BMSP does</w:t>
      </w:r>
      <w:r w:rsidR="00165BC1">
        <w:rPr>
          <w:bCs/>
          <w:lang w:val="en-GB"/>
        </w:rPr>
        <w:t xml:space="preserve"> not</w:t>
      </w:r>
      <w:r w:rsidR="000200AE">
        <w:rPr>
          <w:bCs/>
          <w:lang w:val="en-GB"/>
        </w:rPr>
        <w:t xml:space="preserve"> focus </w:t>
      </w:r>
      <w:r w:rsidR="009141BC" w:rsidRPr="006160AB">
        <w:rPr>
          <w:bCs/>
          <w:lang w:val="en-GB"/>
        </w:rPr>
        <w:t>only</w:t>
      </w:r>
      <w:r w:rsidR="000200AE">
        <w:rPr>
          <w:bCs/>
          <w:lang w:val="en-GB"/>
        </w:rPr>
        <w:t xml:space="preserve"> on</w:t>
      </w:r>
      <w:r w:rsidR="009141BC" w:rsidRPr="006160AB">
        <w:rPr>
          <w:bCs/>
          <w:lang w:val="en-GB"/>
        </w:rPr>
        <w:t xml:space="preserve"> one of </w:t>
      </w:r>
      <w:r w:rsidR="000200AE">
        <w:rPr>
          <w:bCs/>
          <w:lang w:val="en-GB"/>
        </w:rPr>
        <w:t xml:space="preserve">the specified actions under P13, but rather we </w:t>
      </w:r>
      <w:r w:rsidR="009141BC" w:rsidRPr="006160AB">
        <w:rPr>
          <w:bCs/>
          <w:lang w:val="en-GB"/>
        </w:rPr>
        <w:t>see ben</w:t>
      </w:r>
      <w:r w:rsidR="000200AE">
        <w:rPr>
          <w:bCs/>
          <w:lang w:val="en-GB"/>
        </w:rPr>
        <w:t>efits in working cross sectors and interdisciplinary. W</w:t>
      </w:r>
      <w:r w:rsidR="009141BC" w:rsidRPr="006160AB">
        <w:rPr>
          <w:bCs/>
          <w:lang w:val="en-GB"/>
        </w:rPr>
        <w:t>ith a forum that includes actors from the entire quadruple helix as well as different areas of safety and security we believe that BMSP can stimulate a more dynamic development within the safety and security area.</w:t>
      </w:r>
    </w:p>
    <w:p w:rsidR="00992D29" w:rsidRDefault="009141BC" w:rsidP="00C0459D">
      <w:pPr>
        <w:jc w:val="both"/>
        <w:rPr>
          <w:bCs/>
          <w:lang w:val="en-GB"/>
        </w:rPr>
      </w:pPr>
      <w:r w:rsidRPr="006160AB">
        <w:rPr>
          <w:bCs/>
          <w:lang w:val="en-GB"/>
        </w:rPr>
        <w:t xml:space="preserve">We see an added value in cooperating with </w:t>
      </w:r>
      <w:r w:rsidR="00061274">
        <w:rPr>
          <w:bCs/>
          <w:lang w:val="en-GB"/>
        </w:rPr>
        <w:t>already existing fla</w:t>
      </w:r>
      <w:r w:rsidR="00061274" w:rsidRPr="00672D92">
        <w:rPr>
          <w:bCs/>
          <w:lang w:val="en-GB"/>
        </w:rPr>
        <w:t>gship projects</w:t>
      </w:r>
      <w:r w:rsidRPr="00672D92">
        <w:rPr>
          <w:bCs/>
          <w:lang w:val="en-GB"/>
        </w:rPr>
        <w:t xml:space="preserve"> </w:t>
      </w:r>
      <w:r w:rsidR="00061274" w:rsidRPr="00672D92">
        <w:rPr>
          <w:bCs/>
          <w:lang w:val="en-GB"/>
        </w:rPr>
        <w:t xml:space="preserve">within </w:t>
      </w:r>
      <w:r w:rsidR="00992D29">
        <w:rPr>
          <w:bCs/>
          <w:lang w:val="en-GB"/>
        </w:rPr>
        <w:t>P</w:t>
      </w:r>
      <w:r w:rsidR="00061274" w:rsidRPr="00672D92">
        <w:rPr>
          <w:bCs/>
          <w:lang w:val="en-GB"/>
        </w:rPr>
        <w:t xml:space="preserve">13, </w:t>
      </w:r>
      <w:r w:rsidR="000200AE">
        <w:rPr>
          <w:bCs/>
          <w:lang w:val="en-GB"/>
        </w:rPr>
        <w:t>but see</w:t>
      </w:r>
      <w:r w:rsidRPr="00672D92">
        <w:rPr>
          <w:bCs/>
          <w:lang w:val="en-GB"/>
        </w:rPr>
        <w:t xml:space="preserve"> BMSP as a separate </w:t>
      </w:r>
      <w:r w:rsidR="000200AE">
        <w:rPr>
          <w:bCs/>
          <w:lang w:val="en-GB"/>
        </w:rPr>
        <w:t xml:space="preserve">project as it has a wider thematic focus and also aim at connecting the results from a wide number of already ongoing projects in the BSR. BMSP should be seen as a communication platform seeking to facilitate and connect projects and stakeholders.  </w:t>
      </w:r>
    </w:p>
    <w:p w:rsidR="00075C7F" w:rsidRDefault="00D97492" w:rsidP="00C0459D">
      <w:pPr>
        <w:jc w:val="both"/>
        <w:rPr>
          <w:b/>
          <w:bCs/>
          <w:lang w:val="en-GB"/>
        </w:rPr>
      </w:pPr>
      <w:r>
        <w:rPr>
          <w:b/>
          <w:bCs/>
          <w:lang w:val="en-GB"/>
        </w:rPr>
        <w:t>We therefore propose</w:t>
      </w:r>
      <w:r w:rsidR="00672D92">
        <w:rPr>
          <w:b/>
          <w:bCs/>
          <w:lang w:val="en-GB"/>
        </w:rPr>
        <w:t xml:space="preserve"> t</w:t>
      </w:r>
      <w:r w:rsidR="0016277C">
        <w:rPr>
          <w:b/>
          <w:bCs/>
          <w:lang w:val="en-GB"/>
        </w:rPr>
        <w:t xml:space="preserve">hat BMSP is </w:t>
      </w:r>
      <w:r w:rsidR="00672D92">
        <w:rPr>
          <w:b/>
          <w:bCs/>
          <w:lang w:val="en-GB"/>
        </w:rPr>
        <w:t xml:space="preserve">granted flagship status as: </w:t>
      </w:r>
    </w:p>
    <w:p w:rsidR="00061274" w:rsidRPr="00075C7F" w:rsidRDefault="00672D92" w:rsidP="00C0459D">
      <w:pPr>
        <w:pStyle w:val="ListParagraph"/>
        <w:numPr>
          <w:ilvl w:val="0"/>
          <w:numId w:val="11"/>
        </w:numPr>
        <w:jc w:val="both"/>
        <w:rPr>
          <w:bCs/>
          <w:lang w:val="en-GB"/>
        </w:rPr>
      </w:pPr>
      <w:r w:rsidRPr="00075C7F">
        <w:rPr>
          <w:b/>
          <w:bCs/>
          <w:lang w:val="en-GB"/>
        </w:rPr>
        <w:t>Flag</w:t>
      </w:r>
      <w:r w:rsidR="0016277C" w:rsidRPr="00075C7F">
        <w:rPr>
          <w:b/>
          <w:bCs/>
          <w:lang w:val="en-GB"/>
        </w:rPr>
        <w:t xml:space="preserve">ship </w:t>
      </w:r>
      <w:r w:rsidRPr="00075C7F">
        <w:rPr>
          <w:b/>
          <w:bCs/>
          <w:lang w:val="en-GB"/>
        </w:rPr>
        <w:t>meta-</w:t>
      </w:r>
      <w:r w:rsidR="0016277C" w:rsidRPr="00075C7F">
        <w:rPr>
          <w:b/>
          <w:bCs/>
          <w:lang w:val="en-GB"/>
        </w:rPr>
        <w:t xml:space="preserve">project 13.8 </w:t>
      </w:r>
      <w:r w:rsidR="00E422B2" w:rsidRPr="00075C7F">
        <w:rPr>
          <w:b/>
          <w:bCs/>
          <w:lang w:val="en-GB"/>
        </w:rPr>
        <w:t>“</w:t>
      </w:r>
      <w:r w:rsidR="0016277C" w:rsidRPr="00075C7F">
        <w:rPr>
          <w:b/>
          <w:bCs/>
          <w:lang w:val="en-GB"/>
        </w:rPr>
        <w:t xml:space="preserve">Supportive action: </w:t>
      </w:r>
      <w:r w:rsidR="00521A2D" w:rsidRPr="00075C7F">
        <w:rPr>
          <w:b/>
          <w:bCs/>
          <w:lang w:val="en-GB"/>
        </w:rPr>
        <w:t xml:space="preserve">Create an innovation and knowledge centre </w:t>
      </w:r>
      <w:r w:rsidR="0039152C" w:rsidRPr="00075C7F">
        <w:rPr>
          <w:b/>
          <w:bCs/>
          <w:lang w:val="en-GB"/>
        </w:rPr>
        <w:t xml:space="preserve">for </w:t>
      </w:r>
      <w:r w:rsidR="00521A2D" w:rsidRPr="00075C7F">
        <w:rPr>
          <w:b/>
          <w:bCs/>
          <w:lang w:val="en-GB"/>
        </w:rPr>
        <w:t>maritime safety and security</w:t>
      </w:r>
      <w:r w:rsidR="00E422B2" w:rsidRPr="00075C7F">
        <w:rPr>
          <w:b/>
          <w:bCs/>
          <w:lang w:val="en-GB"/>
        </w:rPr>
        <w:t>”</w:t>
      </w:r>
      <w:r w:rsidR="00521A2D" w:rsidRPr="00075C7F">
        <w:rPr>
          <w:b/>
          <w:bCs/>
          <w:lang w:val="en-GB"/>
        </w:rPr>
        <w:t xml:space="preserve"> </w:t>
      </w:r>
      <w:r w:rsidR="00521A2D" w:rsidRPr="00075C7F">
        <w:rPr>
          <w:bCs/>
          <w:lang w:val="en-GB"/>
        </w:rPr>
        <w:t xml:space="preserve">for </w:t>
      </w:r>
      <w:r w:rsidR="00E01948" w:rsidRPr="00075C7F">
        <w:rPr>
          <w:bCs/>
          <w:lang w:val="en-GB"/>
        </w:rPr>
        <w:t>an increased transfer of knowledge</w:t>
      </w:r>
      <w:r w:rsidRPr="00075C7F">
        <w:rPr>
          <w:bCs/>
          <w:lang w:val="en-GB"/>
        </w:rPr>
        <w:t xml:space="preserve"> between past, existing and coming safety and security projects; </w:t>
      </w:r>
      <w:r w:rsidR="00E422B2" w:rsidRPr="00075C7F">
        <w:rPr>
          <w:bCs/>
          <w:lang w:val="en-GB"/>
        </w:rPr>
        <w:t>for stimulating the</w:t>
      </w:r>
      <w:r w:rsidR="00E01948" w:rsidRPr="00075C7F">
        <w:rPr>
          <w:bCs/>
          <w:lang w:val="en-GB"/>
        </w:rPr>
        <w:t xml:space="preserve"> creation of new ideas, innovations, research, products and entrepreneurship</w:t>
      </w:r>
      <w:r w:rsidRPr="00075C7F">
        <w:rPr>
          <w:bCs/>
          <w:lang w:val="en-GB"/>
        </w:rPr>
        <w:t>; and</w:t>
      </w:r>
      <w:r w:rsidR="00E422B2" w:rsidRPr="00075C7F">
        <w:rPr>
          <w:bCs/>
          <w:lang w:val="en-GB"/>
        </w:rPr>
        <w:t xml:space="preserve"> above</w:t>
      </w:r>
      <w:r w:rsidRPr="00075C7F">
        <w:rPr>
          <w:bCs/>
          <w:lang w:val="en-GB"/>
        </w:rPr>
        <w:t xml:space="preserve"> all </w:t>
      </w:r>
      <w:r w:rsidR="00E422B2" w:rsidRPr="00075C7F">
        <w:rPr>
          <w:bCs/>
          <w:lang w:val="en-GB"/>
        </w:rPr>
        <w:t xml:space="preserve">for </w:t>
      </w:r>
      <w:r w:rsidRPr="00075C7F">
        <w:rPr>
          <w:bCs/>
          <w:lang w:val="en-GB"/>
        </w:rPr>
        <w:t>the creation of</w:t>
      </w:r>
      <w:r w:rsidR="00E01948" w:rsidRPr="00075C7F">
        <w:rPr>
          <w:bCs/>
          <w:lang w:val="en-GB"/>
        </w:rPr>
        <w:t xml:space="preserve"> long-term </w:t>
      </w:r>
      <w:r w:rsidRPr="00075C7F">
        <w:rPr>
          <w:bCs/>
          <w:lang w:val="en-GB"/>
        </w:rPr>
        <w:t xml:space="preserve">quadruple helix </w:t>
      </w:r>
      <w:r w:rsidR="00E01948" w:rsidRPr="00075C7F">
        <w:rPr>
          <w:bCs/>
          <w:lang w:val="en-GB"/>
        </w:rPr>
        <w:t xml:space="preserve">cooperation </w:t>
      </w:r>
      <w:r w:rsidR="00E422B2" w:rsidRPr="00075C7F">
        <w:rPr>
          <w:bCs/>
          <w:lang w:val="en-GB"/>
        </w:rPr>
        <w:t xml:space="preserve">within the Baltic Sea </w:t>
      </w:r>
      <w:r w:rsidR="000200AE" w:rsidRPr="00075C7F">
        <w:rPr>
          <w:bCs/>
          <w:lang w:val="en-GB"/>
        </w:rPr>
        <w:t xml:space="preserve">Region </w:t>
      </w:r>
      <w:r w:rsidRPr="00075C7F">
        <w:rPr>
          <w:bCs/>
          <w:lang w:val="en-GB"/>
        </w:rPr>
        <w:t>as a way of developing the area of mari</w:t>
      </w:r>
      <w:r w:rsidR="00906C32" w:rsidRPr="00075C7F">
        <w:rPr>
          <w:bCs/>
          <w:lang w:val="en-GB"/>
        </w:rPr>
        <w:t xml:space="preserve">time safety and security, </w:t>
      </w:r>
      <w:r w:rsidR="00E422B2" w:rsidRPr="00075C7F">
        <w:rPr>
          <w:bCs/>
          <w:lang w:val="en-GB"/>
        </w:rPr>
        <w:t>fa</w:t>
      </w:r>
      <w:r w:rsidRPr="00075C7F">
        <w:rPr>
          <w:bCs/>
          <w:lang w:val="en-GB"/>
        </w:rPr>
        <w:t>cilitating the implementation of the EUSBRS</w:t>
      </w:r>
      <w:r w:rsidR="00906C32" w:rsidRPr="00075C7F">
        <w:rPr>
          <w:bCs/>
          <w:lang w:val="en-GB"/>
        </w:rPr>
        <w:t xml:space="preserve">, and stimulating the growth of a globally competitive Maritime Safety and Security-region. </w:t>
      </w:r>
      <w:r w:rsidRPr="00075C7F">
        <w:rPr>
          <w:bCs/>
          <w:lang w:val="en-GB"/>
        </w:rPr>
        <w:t xml:space="preserve"> </w:t>
      </w:r>
      <w:bookmarkEnd w:id="0"/>
      <w:bookmarkEnd w:id="1"/>
      <w:bookmarkEnd w:id="2"/>
    </w:p>
    <w:sectPr w:rsidR="00061274" w:rsidRPr="00075C7F" w:rsidSect="00075C7F">
      <w:headerReference w:type="default" r:id="rId8"/>
      <w:pgSz w:w="11906" w:h="16838"/>
      <w:pgMar w:top="1417"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34D7" w:rsidRDefault="00C034D7" w:rsidP="00171BBA">
      <w:pPr>
        <w:spacing w:after="0" w:line="240" w:lineRule="auto"/>
      </w:pPr>
      <w:r>
        <w:separator/>
      </w:r>
    </w:p>
  </w:endnote>
  <w:endnote w:type="continuationSeparator" w:id="0">
    <w:p w:rsidR="00C034D7" w:rsidRDefault="00C034D7" w:rsidP="00171B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34D7" w:rsidRDefault="00C034D7" w:rsidP="00171BBA">
      <w:pPr>
        <w:spacing w:after="0" w:line="240" w:lineRule="auto"/>
      </w:pPr>
      <w:r>
        <w:separator/>
      </w:r>
    </w:p>
  </w:footnote>
  <w:footnote w:type="continuationSeparator" w:id="0">
    <w:p w:rsidR="00C034D7" w:rsidRDefault="00C034D7" w:rsidP="00171BB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BC1" w:rsidRDefault="003751D3">
    <w:pPr>
      <w:pStyle w:val="Header"/>
      <w:rPr>
        <w:lang w:val="sv-SE"/>
      </w:rPr>
    </w:pPr>
    <w:r>
      <w:rPr>
        <w:noProof/>
        <w:lang w:val="sv-SE" w:eastAsia="sv-SE"/>
      </w:rPr>
      <w:drawing>
        <wp:anchor distT="0" distB="0" distL="114300" distR="114300" simplePos="0" relativeHeight="251658240" behindDoc="1" locked="1" layoutInCell="1" allowOverlap="1">
          <wp:simplePos x="0" y="0"/>
          <wp:positionH relativeFrom="page">
            <wp:posOffset>2847975</wp:posOffset>
          </wp:positionH>
          <wp:positionV relativeFrom="page">
            <wp:posOffset>219075</wp:posOffset>
          </wp:positionV>
          <wp:extent cx="1838325" cy="971550"/>
          <wp:effectExtent l="19050" t="0" r="9525" b="0"/>
          <wp:wrapNone/>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838325" cy="971550"/>
                  </a:xfrm>
                  <a:prstGeom prst="rect">
                    <a:avLst/>
                  </a:prstGeom>
                  <a:noFill/>
                  <a:ln w="9525">
                    <a:noFill/>
                    <a:miter lim="800000"/>
                    <a:headEnd/>
                    <a:tailEnd/>
                  </a:ln>
                </pic:spPr>
              </pic:pic>
            </a:graphicData>
          </a:graphic>
        </wp:anchor>
      </w:drawing>
    </w:r>
  </w:p>
  <w:p w:rsidR="00165BC1" w:rsidRDefault="00165BC1">
    <w:pPr>
      <w:pStyle w:val="Header"/>
      <w:rPr>
        <w:lang w:val="sv-SE"/>
      </w:rPr>
    </w:pPr>
  </w:p>
  <w:p w:rsidR="00165BC1" w:rsidRDefault="00165BC1">
    <w:pPr>
      <w:pStyle w:val="Header"/>
      <w:rPr>
        <w:lang w:val="sv-SE"/>
      </w:rPr>
    </w:pPr>
  </w:p>
  <w:p w:rsidR="00165BC1" w:rsidRDefault="00165BC1">
    <w:pPr>
      <w:pStyle w:val="Header"/>
      <w:rPr>
        <w:lang w:val="sv-SE"/>
      </w:rPr>
    </w:pPr>
  </w:p>
  <w:p w:rsidR="00C0459D" w:rsidRDefault="00C0459D">
    <w:pPr>
      <w:pStyle w:val="Header"/>
      <w:rPr>
        <w:lang w:val="sv-SE"/>
      </w:rPr>
    </w:pPr>
  </w:p>
  <w:p w:rsidR="00165BC1" w:rsidRPr="00D97492" w:rsidRDefault="00165BC1">
    <w:pPr>
      <w:pStyle w:val="Header"/>
      <w:rPr>
        <w:lang w:val="sv-S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B4DB2"/>
    <w:multiLevelType w:val="hybridMultilevel"/>
    <w:tmpl w:val="60D8C996"/>
    <w:lvl w:ilvl="0" w:tplc="08090005">
      <w:start w:val="1"/>
      <w:numFmt w:val="bullet"/>
      <w:lvlText w:val=""/>
      <w:lvlJc w:val="left"/>
      <w:pPr>
        <w:tabs>
          <w:tab w:val="num" w:pos="360"/>
        </w:tabs>
        <w:ind w:left="360" w:hanging="360"/>
      </w:pPr>
      <w:rPr>
        <w:rFonts w:ascii="Wingdings" w:hAnsi="Wingdings" w:hint="default"/>
      </w:rPr>
    </w:lvl>
    <w:lvl w:ilvl="1" w:tplc="08090001">
      <w:start w:val="1"/>
      <w:numFmt w:val="bullet"/>
      <w:lvlText w:val=""/>
      <w:lvlJc w:val="left"/>
      <w:pPr>
        <w:tabs>
          <w:tab w:val="num" w:pos="360"/>
        </w:tabs>
        <w:ind w:left="360" w:hanging="360"/>
      </w:pPr>
      <w:rPr>
        <w:rFonts w:ascii="Symbol" w:hAnsi="Symbol"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
    <w:nsid w:val="10F412D1"/>
    <w:multiLevelType w:val="hybridMultilevel"/>
    <w:tmpl w:val="A76EB836"/>
    <w:lvl w:ilvl="0" w:tplc="08090005">
      <w:start w:val="1"/>
      <w:numFmt w:val="bullet"/>
      <w:lvlText w:val=""/>
      <w:lvlJc w:val="left"/>
      <w:pPr>
        <w:tabs>
          <w:tab w:val="num" w:pos="360"/>
        </w:tabs>
        <w:ind w:left="360" w:hanging="360"/>
      </w:pPr>
      <w:rPr>
        <w:rFonts w:ascii="Wingdings" w:hAnsi="Wingdings" w:hint="default"/>
      </w:rPr>
    </w:lvl>
    <w:lvl w:ilvl="1" w:tplc="0809000B">
      <w:start w:val="1"/>
      <w:numFmt w:val="bullet"/>
      <w:lvlText w:val=""/>
      <w:lvlJc w:val="left"/>
      <w:pPr>
        <w:tabs>
          <w:tab w:val="num" w:pos="1080"/>
        </w:tabs>
        <w:ind w:left="1080" w:hanging="360"/>
      </w:pPr>
      <w:rPr>
        <w:rFonts w:ascii="Wingdings" w:hAnsi="Wingdings"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nsid w:val="19D12627"/>
    <w:multiLevelType w:val="hybridMultilevel"/>
    <w:tmpl w:val="998897F4"/>
    <w:lvl w:ilvl="0" w:tplc="08090005">
      <w:start w:val="1"/>
      <w:numFmt w:val="bullet"/>
      <w:lvlText w:val=""/>
      <w:lvlJc w:val="left"/>
      <w:pPr>
        <w:tabs>
          <w:tab w:val="num" w:pos="360"/>
        </w:tabs>
        <w:ind w:left="360" w:hanging="360"/>
      </w:pPr>
      <w:rPr>
        <w:rFonts w:ascii="Wingdings" w:hAnsi="Wingdings" w:hint="default"/>
      </w:rPr>
    </w:lvl>
    <w:lvl w:ilvl="1" w:tplc="08090001">
      <w:start w:val="1"/>
      <w:numFmt w:val="bullet"/>
      <w:lvlText w:val=""/>
      <w:lvlJc w:val="left"/>
      <w:pPr>
        <w:tabs>
          <w:tab w:val="num" w:pos="360"/>
        </w:tabs>
        <w:ind w:left="360" w:hanging="360"/>
      </w:pPr>
      <w:rPr>
        <w:rFonts w:ascii="Symbol" w:hAnsi="Symbol"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nsid w:val="45AF0C12"/>
    <w:multiLevelType w:val="hybridMultilevel"/>
    <w:tmpl w:val="D424FD08"/>
    <w:lvl w:ilvl="0" w:tplc="ADA2C63E">
      <w:start w:val="2011"/>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47053EBA"/>
    <w:multiLevelType w:val="hybridMultilevel"/>
    <w:tmpl w:val="C02E440E"/>
    <w:lvl w:ilvl="0" w:tplc="C6565F32">
      <w:start w:val="1"/>
      <w:numFmt w:val="bullet"/>
      <w:lvlText w:val=""/>
      <w:lvlJc w:val="left"/>
      <w:pPr>
        <w:tabs>
          <w:tab w:val="num" w:pos="360"/>
        </w:tabs>
        <w:ind w:left="360" w:hanging="360"/>
      </w:pPr>
      <w:rPr>
        <w:rFonts w:ascii="Wingdings" w:hAnsi="Wingdings" w:hint="default"/>
      </w:rPr>
    </w:lvl>
    <w:lvl w:ilvl="1" w:tplc="876CD688">
      <w:start w:val="1"/>
      <w:numFmt w:val="bullet"/>
      <w:lvlText w:val=""/>
      <w:lvlJc w:val="left"/>
      <w:pPr>
        <w:tabs>
          <w:tab w:val="num" w:pos="1080"/>
        </w:tabs>
        <w:ind w:left="1080" w:hanging="360"/>
      </w:pPr>
      <w:rPr>
        <w:rFonts w:ascii="Wingdings" w:hAnsi="Wingdings" w:hint="default"/>
      </w:rPr>
    </w:lvl>
    <w:lvl w:ilvl="2" w:tplc="AA0ACB76" w:tentative="1">
      <w:start w:val="1"/>
      <w:numFmt w:val="bullet"/>
      <w:lvlText w:val=""/>
      <w:lvlJc w:val="left"/>
      <w:pPr>
        <w:tabs>
          <w:tab w:val="num" w:pos="1800"/>
        </w:tabs>
        <w:ind w:left="1800" w:hanging="360"/>
      </w:pPr>
      <w:rPr>
        <w:rFonts w:ascii="Wingdings" w:hAnsi="Wingdings" w:hint="default"/>
      </w:rPr>
    </w:lvl>
    <w:lvl w:ilvl="3" w:tplc="272C3FA0" w:tentative="1">
      <w:start w:val="1"/>
      <w:numFmt w:val="bullet"/>
      <w:lvlText w:val=""/>
      <w:lvlJc w:val="left"/>
      <w:pPr>
        <w:tabs>
          <w:tab w:val="num" w:pos="2520"/>
        </w:tabs>
        <w:ind w:left="2520" w:hanging="360"/>
      </w:pPr>
      <w:rPr>
        <w:rFonts w:ascii="Symbol" w:hAnsi="Symbol" w:hint="default"/>
      </w:rPr>
    </w:lvl>
    <w:lvl w:ilvl="4" w:tplc="62ACFB60" w:tentative="1">
      <w:start w:val="1"/>
      <w:numFmt w:val="bullet"/>
      <w:lvlText w:val="o"/>
      <w:lvlJc w:val="left"/>
      <w:pPr>
        <w:tabs>
          <w:tab w:val="num" w:pos="3240"/>
        </w:tabs>
        <w:ind w:left="3240" w:hanging="360"/>
      </w:pPr>
      <w:rPr>
        <w:rFonts w:ascii="Courier New" w:hAnsi="Courier New" w:cs="Courier New" w:hint="default"/>
      </w:rPr>
    </w:lvl>
    <w:lvl w:ilvl="5" w:tplc="53EA9FEA" w:tentative="1">
      <w:start w:val="1"/>
      <w:numFmt w:val="bullet"/>
      <w:lvlText w:val=""/>
      <w:lvlJc w:val="left"/>
      <w:pPr>
        <w:tabs>
          <w:tab w:val="num" w:pos="3960"/>
        </w:tabs>
        <w:ind w:left="3960" w:hanging="360"/>
      </w:pPr>
      <w:rPr>
        <w:rFonts w:ascii="Wingdings" w:hAnsi="Wingdings" w:hint="default"/>
      </w:rPr>
    </w:lvl>
    <w:lvl w:ilvl="6" w:tplc="70DAE440" w:tentative="1">
      <w:start w:val="1"/>
      <w:numFmt w:val="bullet"/>
      <w:lvlText w:val=""/>
      <w:lvlJc w:val="left"/>
      <w:pPr>
        <w:tabs>
          <w:tab w:val="num" w:pos="4680"/>
        </w:tabs>
        <w:ind w:left="4680" w:hanging="360"/>
      </w:pPr>
      <w:rPr>
        <w:rFonts w:ascii="Symbol" w:hAnsi="Symbol" w:hint="default"/>
      </w:rPr>
    </w:lvl>
    <w:lvl w:ilvl="7" w:tplc="2C006218" w:tentative="1">
      <w:start w:val="1"/>
      <w:numFmt w:val="bullet"/>
      <w:lvlText w:val="o"/>
      <w:lvlJc w:val="left"/>
      <w:pPr>
        <w:tabs>
          <w:tab w:val="num" w:pos="5400"/>
        </w:tabs>
        <w:ind w:left="5400" w:hanging="360"/>
      </w:pPr>
      <w:rPr>
        <w:rFonts w:ascii="Courier New" w:hAnsi="Courier New" w:cs="Courier New" w:hint="default"/>
      </w:rPr>
    </w:lvl>
    <w:lvl w:ilvl="8" w:tplc="9C2A8700" w:tentative="1">
      <w:start w:val="1"/>
      <w:numFmt w:val="bullet"/>
      <w:lvlText w:val=""/>
      <w:lvlJc w:val="left"/>
      <w:pPr>
        <w:tabs>
          <w:tab w:val="num" w:pos="6120"/>
        </w:tabs>
        <w:ind w:left="6120" w:hanging="360"/>
      </w:pPr>
      <w:rPr>
        <w:rFonts w:ascii="Wingdings" w:hAnsi="Wingdings" w:hint="default"/>
      </w:rPr>
    </w:lvl>
  </w:abstractNum>
  <w:abstractNum w:abstractNumId="5">
    <w:nsid w:val="540178A2"/>
    <w:multiLevelType w:val="hybridMultilevel"/>
    <w:tmpl w:val="6BC86700"/>
    <w:lvl w:ilvl="0" w:tplc="1834EF10">
      <w:start w:val="1"/>
      <w:numFmt w:val="bullet"/>
      <w:lvlText w:val=""/>
      <w:lvlJc w:val="left"/>
      <w:pPr>
        <w:tabs>
          <w:tab w:val="num" w:pos="360"/>
        </w:tabs>
        <w:ind w:left="360" w:hanging="360"/>
      </w:pPr>
      <w:rPr>
        <w:rFonts w:ascii="Symbol" w:hAnsi="Symbol" w:hint="default"/>
      </w:rPr>
    </w:lvl>
    <w:lvl w:ilvl="1" w:tplc="0809000B"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6C5538E2"/>
    <w:multiLevelType w:val="hybridMultilevel"/>
    <w:tmpl w:val="B6905BBC"/>
    <w:lvl w:ilvl="0" w:tplc="4B627C92">
      <w:start w:val="1"/>
      <w:numFmt w:val="bullet"/>
      <w:pStyle w:val="TOC3"/>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nsid w:val="758C3D3E"/>
    <w:multiLevelType w:val="hybridMultilevel"/>
    <w:tmpl w:val="7FD45D86"/>
    <w:lvl w:ilvl="0" w:tplc="92C4D9E8">
      <w:start w:val="1"/>
      <w:numFmt w:val="bullet"/>
      <w:lvlText w:val=""/>
      <w:lvlJc w:val="left"/>
      <w:pPr>
        <w:tabs>
          <w:tab w:val="num" w:pos="360"/>
        </w:tabs>
        <w:ind w:left="360" w:hanging="360"/>
      </w:pPr>
      <w:rPr>
        <w:rFonts w:ascii="Wingdings" w:hAnsi="Wingdings" w:hint="default"/>
      </w:rPr>
    </w:lvl>
    <w:lvl w:ilvl="1" w:tplc="2AB270EE">
      <w:start w:val="1"/>
      <w:numFmt w:val="bullet"/>
      <w:lvlText w:val=""/>
      <w:lvlJc w:val="left"/>
      <w:pPr>
        <w:tabs>
          <w:tab w:val="num" w:pos="1440"/>
        </w:tabs>
        <w:ind w:left="1440" w:hanging="360"/>
      </w:pPr>
      <w:rPr>
        <w:rFonts w:ascii="Wingdings" w:hAnsi="Wingdings" w:cs="Arial" w:hint="default"/>
      </w:rPr>
    </w:lvl>
    <w:lvl w:ilvl="2" w:tplc="C786010A" w:tentative="1">
      <w:start w:val="1"/>
      <w:numFmt w:val="lowerRoman"/>
      <w:lvlText w:val="%3."/>
      <w:lvlJc w:val="right"/>
      <w:pPr>
        <w:tabs>
          <w:tab w:val="num" w:pos="2160"/>
        </w:tabs>
        <w:ind w:left="2160" w:hanging="180"/>
      </w:pPr>
    </w:lvl>
    <w:lvl w:ilvl="3" w:tplc="21ECBD70" w:tentative="1">
      <w:start w:val="1"/>
      <w:numFmt w:val="decimal"/>
      <w:lvlText w:val="%4."/>
      <w:lvlJc w:val="left"/>
      <w:pPr>
        <w:tabs>
          <w:tab w:val="num" w:pos="2880"/>
        </w:tabs>
        <w:ind w:left="2880" w:hanging="360"/>
      </w:pPr>
    </w:lvl>
    <w:lvl w:ilvl="4" w:tplc="132857DE" w:tentative="1">
      <w:start w:val="1"/>
      <w:numFmt w:val="lowerLetter"/>
      <w:lvlText w:val="%5."/>
      <w:lvlJc w:val="left"/>
      <w:pPr>
        <w:tabs>
          <w:tab w:val="num" w:pos="3600"/>
        </w:tabs>
        <w:ind w:left="3600" w:hanging="360"/>
      </w:pPr>
    </w:lvl>
    <w:lvl w:ilvl="5" w:tplc="697C3784" w:tentative="1">
      <w:start w:val="1"/>
      <w:numFmt w:val="lowerRoman"/>
      <w:lvlText w:val="%6."/>
      <w:lvlJc w:val="right"/>
      <w:pPr>
        <w:tabs>
          <w:tab w:val="num" w:pos="4320"/>
        </w:tabs>
        <w:ind w:left="4320" w:hanging="180"/>
      </w:pPr>
    </w:lvl>
    <w:lvl w:ilvl="6" w:tplc="2272F916" w:tentative="1">
      <w:start w:val="1"/>
      <w:numFmt w:val="decimal"/>
      <w:lvlText w:val="%7."/>
      <w:lvlJc w:val="left"/>
      <w:pPr>
        <w:tabs>
          <w:tab w:val="num" w:pos="5040"/>
        </w:tabs>
        <w:ind w:left="5040" w:hanging="360"/>
      </w:pPr>
    </w:lvl>
    <w:lvl w:ilvl="7" w:tplc="8996E666" w:tentative="1">
      <w:start w:val="1"/>
      <w:numFmt w:val="lowerLetter"/>
      <w:lvlText w:val="%8."/>
      <w:lvlJc w:val="left"/>
      <w:pPr>
        <w:tabs>
          <w:tab w:val="num" w:pos="5760"/>
        </w:tabs>
        <w:ind w:left="5760" w:hanging="360"/>
      </w:pPr>
    </w:lvl>
    <w:lvl w:ilvl="8" w:tplc="683E7BD2" w:tentative="1">
      <w:start w:val="1"/>
      <w:numFmt w:val="lowerRoman"/>
      <w:lvlText w:val="%9."/>
      <w:lvlJc w:val="right"/>
      <w:pPr>
        <w:tabs>
          <w:tab w:val="num" w:pos="6480"/>
        </w:tabs>
        <w:ind w:left="6480" w:hanging="180"/>
      </w:pPr>
    </w:lvl>
  </w:abstractNum>
  <w:abstractNum w:abstractNumId="8">
    <w:nsid w:val="75AA5E98"/>
    <w:multiLevelType w:val="hybridMultilevel"/>
    <w:tmpl w:val="861426B8"/>
    <w:lvl w:ilvl="0" w:tplc="1D0A5BBA">
      <w:start w:val="2011"/>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7F217696"/>
    <w:multiLevelType w:val="hybridMultilevel"/>
    <w:tmpl w:val="4740CF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0"/>
  </w:num>
  <w:num w:numId="4">
    <w:abstractNumId w:val="1"/>
  </w:num>
  <w:num w:numId="5">
    <w:abstractNumId w:val="2"/>
  </w:num>
  <w:num w:numId="6">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304"/>
  <w:hyphenationZone w:val="425"/>
  <w:characterSpacingControl w:val="doNotCompress"/>
  <w:hdrShapeDefaults>
    <o:shapedefaults v:ext="edit" spidmax="13313"/>
  </w:hdrShapeDefaults>
  <w:footnotePr>
    <w:footnote w:id="-1"/>
    <w:footnote w:id="0"/>
  </w:footnotePr>
  <w:endnotePr>
    <w:endnote w:id="-1"/>
    <w:endnote w:id="0"/>
  </w:endnotePr>
  <w:compat/>
  <w:rsids>
    <w:rsidRoot w:val="001A73B2"/>
    <w:rsid w:val="00014579"/>
    <w:rsid w:val="000200AE"/>
    <w:rsid w:val="00061274"/>
    <w:rsid w:val="00075C7F"/>
    <w:rsid w:val="0009515E"/>
    <w:rsid w:val="000A2C15"/>
    <w:rsid w:val="000B4B6B"/>
    <w:rsid w:val="00130FE4"/>
    <w:rsid w:val="00141A68"/>
    <w:rsid w:val="0016277C"/>
    <w:rsid w:val="0016469F"/>
    <w:rsid w:val="00165BC1"/>
    <w:rsid w:val="00171BBA"/>
    <w:rsid w:val="001A73B2"/>
    <w:rsid w:val="00203778"/>
    <w:rsid w:val="00206047"/>
    <w:rsid w:val="0022740B"/>
    <w:rsid w:val="0023739A"/>
    <w:rsid w:val="002663C1"/>
    <w:rsid w:val="002C1A2A"/>
    <w:rsid w:val="00322699"/>
    <w:rsid w:val="003751D3"/>
    <w:rsid w:val="0039152C"/>
    <w:rsid w:val="003F1553"/>
    <w:rsid w:val="004A29EF"/>
    <w:rsid w:val="004E049D"/>
    <w:rsid w:val="00521A2D"/>
    <w:rsid w:val="00522B06"/>
    <w:rsid w:val="00524064"/>
    <w:rsid w:val="005D2400"/>
    <w:rsid w:val="005D72BE"/>
    <w:rsid w:val="005E5468"/>
    <w:rsid w:val="005F464E"/>
    <w:rsid w:val="006160AB"/>
    <w:rsid w:val="00616726"/>
    <w:rsid w:val="0064351E"/>
    <w:rsid w:val="00672D92"/>
    <w:rsid w:val="0068555D"/>
    <w:rsid w:val="006A1A9F"/>
    <w:rsid w:val="006B196E"/>
    <w:rsid w:val="007529E4"/>
    <w:rsid w:val="00781DD1"/>
    <w:rsid w:val="007D3E02"/>
    <w:rsid w:val="00824C52"/>
    <w:rsid w:val="00884A5F"/>
    <w:rsid w:val="00906C32"/>
    <w:rsid w:val="009141BC"/>
    <w:rsid w:val="00962AE3"/>
    <w:rsid w:val="00992D29"/>
    <w:rsid w:val="00996509"/>
    <w:rsid w:val="009B4A81"/>
    <w:rsid w:val="009C0192"/>
    <w:rsid w:val="009E346F"/>
    <w:rsid w:val="00AB3CB9"/>
    <w:rsid w:val="00AF4363"/>
    <w:rsid w:val="00B11622"/>
    <w:rsid w:val="00BB5C0B"/>
    <w:rsid w:val="00BF5919"/>
    <w:rsid w:val="00BF5F10"/>
    <w:rsid w:val="00C00504"/>
    <w:rsid w:val="00C034D7"/>
    <w:rsid w:val="00C0459D"/>
    <w:rsid w:val="00C855AC"/>
    <w:rsid w:val="00D32424"/>
    <w:rsid w:val="00D3564D"/>
    <w:rsid w:val="00D740A1"/>
    <w:rsid w:val="00D97492"/>
    <w:rsid w:val="00DB0B77"/>
    <w:rsid w:val="00DD78E0"/>
    <w:rsid w:val="00E01948"/>
    <w:rsid w:val="00E265D8"/>
    <w:rsid w:val="00E422B2"/>
    <w:rsid w:val="00EF055A"/>
    <w:rsid w:val="00F07BB5"/>
    <w:rsid w:val="00F161CD"/>
    <w:rsid w:val="00F212F7"/>
    <w:rsid w:val="00FA4AA8"/>
    <w:rsid w:val="00FD417A"/>
    <w:rsid w:val="00FD48FB"/>
    <w:rsid w:val="00FF346F"/>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553"/>
    <w:rPr>
      <w:lang w:val="fr-FR"/>
    </w:rPr>
  </w:style>
  <w:style w:type="paragraph" w:styleId="Heading1">
    <w:name w:val="heading 1"/>
    <w:basedOn w:val="Normal"/>
    <w:next w:val="Normal"/>
    <w:link w:val="Heading1Char"/>
    <w:qFormat/>
    <w:rsid w:val="00171BBA"/>
    <w:pPr>
      <w:keepNext/>
      <w:spacing w:before="240" w:after="60" w:line="240" w:lineRule="auto"/>
      <w:ind w:left="-180" w:right="-288"/>
      <w:jc w:val="center"/>
      <w:outlineLvl w:val="0"/>
    </w:pPr>
    <w:rPr>
      <w:rFonts w:ascii="Times New Roman Bold" w:eastAsia="Times New Roman" w:hAnsi="Times New Roman Bold" w:cs="Times New Roman"/>
      <w:b/>
      <w:bCs/>
      <w:caps/>
      <w:kern w:val="32"/>
      <w:sz w:val="32"/>
      <w:szCs w:val="3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171BB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71BBA"/>
    <w:rPr>
      <w:sz w:val="20"/>
      <w:szCs w:val="20"/>
      <w:lang w:val="fr-FR"/>
    </w:rPr>
  </w:style>
  <w:style w:type="character" w:styleId="FootnoteReference">
    <w:name w:val="footnote reference"/>
    <w:aliases w:val="Footnote Reference Number,Footnote Reference_LVL6,Footnote Reference_LVL61,Footnote Reference_LVL62,Footnote Reference_LVL63,Footnote Reference_LVL64"/>
    <w:basedOn w:val="DefaultParagraphFont"/>
    <w:semiHidden/>
    <w:rsid w:val="00171BBA"/>
    <w:rPr>
      <w:vertAlign w:val="superscript"/>
    </w:rPr>
  </w:style>
  <w:style w:type="character" w:customStyle="1" w:styleId="Heading1Char">
    <w:name w:val="Heading 1 Char"/>
    <w:basedOn w:val="DefaultParagraphFont"/>
    <w:link w:val="Heading1"/>
    <w:rsid w:val="00171BBA"/>
    <w:rPr>
      <w:rFonts w:ascii="Times New Roman Bold" w:eastAsia="Times New Roman" w:hAnsi="Times New Roman Bold" w:cs="Times New Roman"/>
      <w:b/>
      <w:bCs/>
      <w:caps/>
      <w:kern w:val="32"/>
      <w:sz w:val="32"/>
      <w:szCs w:val="32"/>
      <w:lang w:val="en-GB" w:eastAsia="en-GB"/>
    </w:rPr>
  </w:style>
  <w:style w:type="paragraph" w:styleId="TOC3">
    <w:name w:val="toc 3"/>
    <w:basedOn w:val="Normal"/>
    <w:next w:val="Normal"/>
    <w:autoRedefine/>
    <w:semiHidden/>
    <w:rsid w:val="00171BBA"/>
    <w:pPr>
      <w:numPr>
        <w:numId w:val="2"/>
      </w:numPr>
      <w:spacing w:after="240" w:line="240" w:lineRule="auto"/>
      <w:jc w:val="both"/>
    </w:pPr>
    <w:rPr>
      <w:rFonts w:ascii="Times New Roman" w:eastAsia="Times New Roman" w:hAnsi="Times New Roman" w:cs="Times New Roman"/>
      <w:sz w:val="24"/>
      <w:szCs w:val="24"/>
      <w:u w:val="single"/>
      <w:lang w:val="en-GB" w:eastAsia="en-GB"/>
    </w:rPr>
  </w:style>
  <w:style w:type="paragraph" w:customStyle="1" w:styleId="Text2">
    <w:name w:val="Text 2"/>
    <w:basedOn w:val="Normal"/>
    <w:rsid w:val="00171BBA"/>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styleId="Header">
    <w:name w:val="header"/>
    <w:basedOn w:val="Normal"/>
    <w:link w:val="HeaderChar"/>
    <w:uiPriority w:val="99"/>
    <w:semiHidden/>
    <w:unhideWhenUsed/>
    <w:rsid w:val="00D97492"/>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D97492"/>
    <w:rPr>
      <w:lang w:val="fr-FR"/>
    </w:rPr>
  </w:style>
  <w:style w:type="paragraph" w:styleId="Footer">
    <w:name w:val="footer"/>
    <w:basedOn w:val="Normal"/>
    <w:link w:val="FooterChar"/>
    <w:uiPriority w:val="99"/>
    <w:semiHidden/>
    <w:unhideWhenUsed/>
    <w:rsid w:val="00D97492"/>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D97492"/>
    <w:rPr>
      <w:lang w:val="fr-FR"/>
    </w:rPr>
  </w:style>
  <w:style w:type="paragraph" w:styleId="ListParagraph">
    <w:name w:val="List Paragraph"/>
    <w:basedOn w:val="Normal"/>
    <w:uiPriority w:val="34"/>
    <w:qFormat/>
    <w:rsid w:val="0016277C"/>
    <w:pPr>
      <w:ind w:left="720"/>
      <w:contextualSpacing/>
    </w:pPr>
  </w:style>
  <w:style w:type="character" w:styleId="CommentReference">
    <w:name w:val="annotation reference"/>
    <w:basedOn w:val="DefaultParagraphFont"/>
    <w:uiPriority w:val="99"/>
    <w:semiHidden/>
    <w:unhideWhenUsed/>
    <w:rsid w:val="00962AE3"/>
    <w:rPr>
      <w:sz w:val="16"/>
      <w:szCs w:val="16"/>
    </w:rPr>
  </w:style>
  <w:style w:type="paragraph" w:styleId="CommentText">
    <w:name w:val="annotation text"/>
    <w:basedOn w:val="Normal"/>
    <w:link w:val="CommentTextChar"/>
    <w:uiPriority w:val="99"/>
    <w:semiHidden/>
    <w:unhideWhenUsed/>
    <w:rsid w:val="00962AE3"/>
    <w:pPr>
      <w:spacing w:line="240" w:lineRule="auto"/>
    </w:pPr>
    <w:rPr>
      <w:sz w:val="20"/>
      <w:szCs w:val="20"/>
    </w:rPr>
  </w:style>
  <w:style w:type="character" w:customStyle="1" w:styleId="CommentTextChar">
    <w:name w:val="Comment Text Char"/>
    <w:basedOn w:val="DefaultParagraphFont"/>
    <w:link w:val="CommentText"/>
    <w:uiPriority w:val="99"/>
    <w:semiHidden/>
    <w:rsid w:val="00962AE3"/>
    <w:rPr>
      <w:sz w:val="20"/>
      <w:szCs w:val="20"/>
      <w:lang w:val="fr-FR"/>
    </w:rPr>
  </w:style>
  <w:style w:type="paragraph" w:styleId="CommentSubject">
    <w:name w:val="annotation subject"/>
    <w:basedOn w:val="CommentText"/>
    <w:next w:val="CommentText"/>
    <w:link w:val="CommentSubjectChar"/>
    <w:uiPriority w:val="99"/>
    <w:semiHidden/>
    <w:unhideWhenUsed/>
    <w:rsid w:val="00962AE3"/>
    <w:rPr>
      <w:b/>
      <w:bCs/>
    </w:rPr>
  </w:style>
  <w:style w:type="character" w:customStyle="1" w:styleId="CommentSubjectChar">
    <w:name w:val="Comment Subject Char"/>
    <w:basedOn w:val="CommentTextChar"/>
    <w:link w:val="CommentSubject"/>
    <w:uiPriority w:val="99"/>
    <w:semiHidden/>
    <w:rsid w:val="00962AE3"/>
    <w:rPr>
      <w:b/>
      <w:bCs/>
    </w:rPr>
  </w:style>
  <w:style w:type="paragraph" w:styleId="BalloonText">
    <w:name w:val="Balloon Text"/>
    <w:basedOn w:val="Normal"/>
    <w:link w:val="BalloonTextChar"/>
    <w:uiPriority w:val="99"/>
    <w:semiHidden/>
    <w:unhideWhenUsed/>
    <w:rsid w:val="00962A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2AE3"/>
    <w:rPr>
      <w:rFonts w:ascii="Tahoma" w:hAnsi="Tahoma" w:cs="Tahoma"/>
      <w:sz w:val="16"/>
      <w:szCs w:val="16"/>
      <w:lang w:val="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093A6-0B10-4FAA-80E9-871540B74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963</Words>
  <Characters>5108</Characters>
  <Application>Microsoft Office Word</Application>
  <DocSecurity>0</DocSecurity>
  <Lines>42</Lines>
  <Paragraphs>12</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Blekinge Tekniska Högskola</Company>
  <LinksUpToDate>false</LinksUpToDate>
  <CharactersWithSpaces>6059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Agata Kosno</dc:creator>
  <cp:lastModifiedBy>Agata Kosno</cp:lastModifiedBy>
  <cp:revision>3</cp:revision>
  <dcterms:created xsi:type="dcterms:W3CDTF">2011-10-28T06:57:00Z</dcterms:created>
  <dcterms:modified xsi:type="dcterms:W3CDTF">2011-10-31T14:13:00Z</dcterms:modified>
</cp:coreProperties>
</file>